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65364F8B" w14:textId="77777777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>Bank Handlowy w Warszawie S.A.</w:t>
      </w:r>
    </w:p>
    <w:p w14:paraId="6F967D81" w14:textId="52F13BDF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>z siedzibą w Warszawie</w:t>
      </w:r>
    </w:p>
    <w:p w14:paraId="7B59C149" w14:textId="6CDADF4A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>KRS: 0000305178</w:t>
      </w:r>
    </w:p>
    <w:p w14:paraId="3D58FE49" w14:textId="72AAF687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>ul. Senatorska 16</w:t>
      </w:r>
    </w:p>
    <w:p w14:paraId="6347B1F0" w14:textId="7F93B220" w:rsidR="005F5AD4" w:rsidRPr="00895CD5" w:rsidRDefault="00616BF2" w:rsidP="00616BF2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616BF2">
        <w:rPr>
          <w:rFonts w:ascii="Palatino Linotype" w:hAnsi="Palatino Linotype"/>
          <w:b/>
          <w:bCs/>
        </w:rPr>
        <w:t>00 – 923 Warszawa</w:t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616BF2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6</cp:revision>
  <cp:lastPrinted>2024-01-25T12:48:00Z</cp:lastPrinted>
  <dcterms:created xsi:type="dcterms:W3CDTF">2024-03-07T17:30:00Z</dcterms:created>
  <dcterms:modified xsi:type="dcterms:W3CDTF">2024-05-27T14:34:00Z</dcterms:modified>
</cp:coreProperties>
</file>